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70" w:rsidRDefault="00135370" w:rsidP="00135370">
      <w:pPr>
        <w:spacing w:line="360" w:lineRule="auto"/>
        <w:rPr>
          <w:rFonts w:ascii="Book Antiqua" w:hAnsi="Book Antiqua" w:cs="Arial"/>
          <w:b/>
          <w:sz w:val="40"/>
        </w:rPr>
      </w:pPr>
      <w:r>
        <w:rPr>
          <w:rFonts w:ascii="Book Antiqua" w:hAnsi="Book Antiqua" w:cs="Arial"/>
          <w:b/>
          <w:sz w:val="40"/>
        </w:rPr>
        <w:t>Przedmiotowy System Oceniania z Religii</w:t>
      </w:r>
    </w:p>
    <w:p w:rsidR="00135370" w:rsidRDefault="00135370" w:rsidP="00135370">
      <w:pPr>
        <w:spacing w:line="360" w:lineRule="auto"/>
        <w:rPr>
          <w:rFonts w:ascii="Book Antiqua" w:hAnsi="Book Antiqua"/>
          <w:b/>
          <w:sz w:val="24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Cele nauczania w ramach przedmiotu - religia.</w:t>
      </w:r>
    </w:p>
    <w:p w:rsidR="00135370" w:rsidRDefault="00135370" w:rsidP="00135370">
      <w:pPr>
        <w:spacing w:line="360" w:lineRule="auto"/>
        <w:rPr>
          <w:rFonts w:ascii="Book Antiqua" w:hAnsi="Book Antiqua"/>
          <w:b/>
          <w:sz w:val="16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135370" w:rsidRDefault="00135370" w:rsidP="00135370">
      <w:pPr>
        <w:numPr>
          <w:ilvl w:val="0"/>
          <w:numId w:val="2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135370" w:rsidRDefault="00135370" w:rsidP="00135370">
      <w:pPr>
        <w:numPr>
          <w:ilvl w:val="0"/>
          <w:numId w:val="2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135370" w:rsidRDefault="00135370" w:rsidP="00135370">
      <w:pPr>
        <w:numPr>
          <w:ilvl w:val="0"/>
          <w:numId w:val="2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135370" w:rsidRDefault="00135370" w:rsidP="00135370">
      <w:pPr>
        <w:numPr>
          <w:ilvl w:val="0"/>
          <w:numId w:val="2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Poznawanie i pogłębianie przeżywania Eucharystii jako centrum życia chrześcijańskiego oraz dalsze kształtowanie postaw moralnych katechizowanych.</w:t>
      </w:r>
    </w:p>
    <w:p w:rsidR="00135370" w:rsidRDefault="00135370" w:rsidP="00135370">
      <w:pPr>
        <w:numPr>
          <w:ilvl w:val="0"/>
          <w:numId w:val="2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135370" w:rsidRDefault="00135370" w:rsidP="00135370">
      <w:pPr>
        <w:numPr>
          <w:ilvl w:val="0"/>
          <w:numId w:val="2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Zapoznawanie z tematami dotyczącymi Chrystusa i Kościoła, poznanie roli Ducha Świętego, Słowa Bożego i liturgii w życiu Kościoła</w:t>
      </w:r>
    </w:p>
    <w:p w:rsidR="00135370" w:rsidRDefault="00135370" w:rsidP="00135370">
      <w:pPr>
        <w:numPr>
          <w:ilvl w:val="0"/>
          <w:numId w:val="2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numPr>
          <w:ilvl w:val="0"/>
          <w:numId w:val="1"/>
        </w:num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lastRenderedPageBreak/>
        <w:t>Zasady oceniania.</w:t>
      </w:r>
    </w:p>
    <w:p w:rsidR="00135370" w:rsidRDefault="00135370" w:rsidP="00135370">
      <w:p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16"/>
        </w:rPr>
      </w:pPr>
    </w:p>
    <w:p w:rsidR="00135370" w:rsidRDefault="00135370" w:rsidP="0013537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Każdy uczeń oceniany jest obiektywnie i sprawiedliwie.</w:t>
      </w:r>
    </w:p>
    <w:p w:rsidR="00135370" w:rsidRDefault="00135370" w:rsidP="0013537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Ocena bieżąca z religii będzie formułowana w skali 1- 6.</w:t>
      </w:r>
    </w:p>
    <w:p w:rsidR="00135370" w:rsidRDefault="00135370" w:rsidP="0013537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135370" w:rsidRDefault="00135370" w:rsidP="0013537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Testy, krótkie sprawdziany i odpowiedzi ustne nie muszą być zapowiadane, uczeń powinien być do każdej lekcji przygotowany.</w:t>
      </w:r>
    </w:p>
    <w:p w:rsidR="00135370" w:rsidRDefault="00135370" w:rsidP="0013537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8"/>
        </w:rPr>
        <w:t>Obszary aktywności.</w:t>
      </w:r>
    </w:p>
    <w:p w:rsidR="00135370" w:rsidRDefault="00135370" w:rsidP="00135370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35370" w:rsidRDefault="00135370" w:rsidP="00135370">
      <w:pPr>
        <w:spacing w:line="360" w:lineRule="auto"/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Sprawdziany - przeprowadzane będą po zakończeniu każdego działu. Zapowiadane będą z tygodniowym wyprzedzeniem (wpis informacyjny do dziennika) i podaniem zakresu materiału. Sprawdziany będą oceniane w skali punktowej przeliczanej na oceny w skali 1 – 6. W wyznaczonych sprawdzianach będą znajdować się zadania otwarte na ocenę celującą. Będą one oceniane tylko wtedy, gdy uczeń napisze pierwszą część sprawdzianu na ocenę bardzo dobrą. Raz w semestrze można poprawić jeden sprawdzian. Ocena z poprawy sprawdzianu jest oceną ostateczną i nie podlega kolejnej poprawie i nie może być skreślona, ponieważ nauczyciel uznaje ją za ocenę ostateczną. Sprawdziany będą przedstawiane uczniom w trakcie lekcji.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Kartkówki - nie muszą być zapowiadane. Zawierają one materiał z trzech ostatnich lekcji. Oceniane są w systemie punktowym w skali 1 - 5.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Aktywność i praca na lekcji jest oceniana w skali 1 – 6.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Ogólne kryteria ocen z religii.</w:t>
      </w:r>
    </w:p>
    <w:p w:rsidR="00135370" w:rsidRDefault="00135370" w:rsidP="00135370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Celujący: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spełnia wymagania na ocenę bardzo dobrą,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wykonuje zadania dodatkowe dla chętnych,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bierze udział w konkursach religijnych.</w:t>
      </w:r>
    </w:p>
    <w:p w:rsidR="00135370" w:rsidRDefault="00135370" w:rsidP="00135370">
      <w:pPr>
        <w:spacing w:line="360" w:lineRule="auto"/>
        <w:rPr>
          <w:rFonts w:ascii="Book Antiqua" w:hAnsi="Book Antiqua"/>
          <w:sz w:val="16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Bardzo dobry: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sprawnie posługuje się zdobytymi wiadomościami,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chętnie i systematycznie uczestniczy w katechezie,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wyróżnia się aktywnością na tle grupy katechizowanych,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135370" w:rsidRDefault="00135370" w:rsidP="00135370">
      <w:pPr>
        <w:spacing w:line="360" w:lineRule="auto"/>
        <w:rPr>
          <w:rFonts w:ascii="Book Antiqua" w:hAnsi="Book Antiqua"/>
          <w:b/>
          <w:sz w:val="24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Dobry: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dysponuje dobrą umiejętnością zastosowania zdobytych wiadomości,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osiąga postępy podczas prowadzonych zajęć,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chętnie uczestniczy w katechezie.</w:t>
      </w:r>
    </w:p>
    <w:p w:rsidR="00135370" w:rsidRDefault="00135370" w:rsidP="00135370">
      <w:pPr>
        <w:spacing w:line="360" w:lineRule="auto"/>
        <w:rPr>
          <w:rFonts w:ascii="Book Antiqua" w:hAnsi="Book Antiqua"/>
          <w:sz w:val="16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Dostateczny: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wiadomości i umiejętności umożliwiające zdobywanie dalszej wiedzy,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wykazuje zainteresowanie przedmiotem,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postawa ucznia nie budzi zastrzeżeń.</w:t>
      </w:r>
    </w:p>
    <w:p w:rsidR="00135370" w:rsidRDefault="00135370" w:rsidP="00135370">
      <w:pPr>
        <w:spacing w:line="360" w:lineRule="auto"/>
        <w:rPr>
          <w:rFonts w:ascii="Book Antiqua" w:hAnsi="Book Antiqua"/>
          <w:sz w:val="16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Dopuszczający: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niechętnie bierze udział w katechezie,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proste zadania o niewielkim stopniu trudności rozwiązuje przy pomocy nauczyciela,</w:t>
      </w:r>
    </w:p>
    <w:p w:rsidR="00135370" w:rsidRDefault="00135370" w:rsidP="00135370">
      <w:pPr>
        <w:spacing w:line="360" w:lineRule="auto"/>
        <w:rPr>
          <w:rFonts w:ascii="Book Antiqua" w:hAnsi="Book Antiqua"/>
          <w:sz w:val="16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Niedostateczny: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135370" w:rsidRDefault="00135370" w:rsidP="0013537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nie opanował podstawowych umiejętności i wiadomości z zakresu oceny dopuszczającej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Formy oceniania.</w:t>
      </w:r>
    </w:p>
    <w:p w:rsidR="00135370" w:rsidRDefault="00135370" w:rsidP="00135370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35370" w:rsidRDefault="00135370" w:rsidP="0013537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Sprawdziany pisemne.</w:t>
      </w:r>
    </w:p>
    <w:p w:rsidR="00135370" w:rsidRDefault="00135370" w:rsidP="0013537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Praca indywidualna i w grupach.</w:t>
      </w:r>
    </w:p>
    <w:p w:rsidR="00135370" w:rsidRDefault="00135370" w:rsidP="0013537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Aktywność podczas zajęć.</w:t>
      </w:r>
    </w:p>
    <w:p w:rsidR="00135370" w:rsidRDefault="00135370" w:rsidP="0013537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Sporządzanie pomocy dydaktycznych.</w:t>
      </w:r>
    </w:p>
    <w:p w:rsidR="00135370" w:rsidRDefault="00135370" w:rsidP="0013537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Odpowiedzi ustne.</w:t>
      </w: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numPr>
          <w:ilvl w:val="0"/>
          <w:numId w:val="6"/>
        </w:numPr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lastRenderedPageBreak/>
        <w:t>Sposoby informowania uczniów i rodziców.</w:t>
      </w:r>
    </w:p>
    <w:p w:rsidR="00135370" w:rsidRDefault="00135370" w:rsidP="00135370">
      <w:pPr>
        <w:spacing w:line="360" w:lineRule="auto"/>
        <w:rPr>
          <w:rFonts w:ascii="Book Antiqua" w:hAnsi="Book Antiqua"/>
          <w:b/>
          <w:sz w:val="16"/>
        </w:rPr>
      </w:pPr>
    </w:p>
    <w:p w:rsidR="00135370" w:rsidRDefault="00135370" w:rsidP="00135370">
      <w:pPr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pierwszej lekcji zapoznajemy uczniów z PSO.</w:t>
      </w:r>
    </w:p>
    <w:p w:rsidR="00135370" w:rsidRDefault="00135370" w:rsidP="00135370">
      <w:pPr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Wymagania na poszczególne oceny udostępniamy uczniom.</w:t>
      </w:r>
    </w:p>
    <w:p w:rsidR="00135370" w:rsidRDefault="00135370" w:rsidP="00135370">
      <w:pPr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Oceny cząstkowe są jawne.</w:t>
      </w:r>
    </w:p>
    <w:p w:rsidR="00135370" w:rsidRDefault="00135370" w:rsidP="00135370">
      <w:pPr>
        <w:numPr>
          <w:ilvl w:val="0"/>
          <w:numId w:val="7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Wychowawca klasy na zebraniach lub podczas spotkań indywidualnych informuje rodziców o ocenach.</w:t>
      </w: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lastRenderedPageBreak/>
        <w:t>KLASA IV</w:t>
      </w: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t xml:space="preserve">Tytuł programu: 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>POZNAJĘ BOGA I W NIEGO WIERZĘ</w:t>
      </w: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t>Numer programu: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AZ-2-01/10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z dn. 09.06.10 r., </w:t>
      </w: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t xml:space="preserve">Tytuł podręcznika: 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>Jestem chrześcijaninem,</w:t>
      </w:r>
      <w:r>
        <w:rPr>
          <w:rFonts w:ascii="Book Antiqua" w:eastAsia="Calibri" w:hAnsi="Book Antiqua"/>
          <w:sz w:val="24"/>
          <w:szCs w:val="24"/>
          <w:lang w:eastAsia="en-US"/>
        </w:rPr>
        <w:t>numer: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>AZ-21-01/10-PO-1/11</w:t>
      </w: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z dnia 09.05.2011, </w:t>
      </w: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>WYMAGANIA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czym jest prawdziwa przyja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umie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cechy kole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stwa i przyja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fundamentem przyja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 jest realizacja przykazania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przykazania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i umie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znaczenie tych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podaje definicj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roku liturgicznego oraz okresy roku liturgicznego;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czym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jest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modlitwa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warunki dobrej spowiedzi, potrafi po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czy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 przypowie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 synu marnotrawnym;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sposoby czynnego uczestnictwa we Mszy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tej;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g jest Autorem,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rc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wiata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potrafi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cie: Stw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rca;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Jezus Chrystus jest naszym Odkupicielem;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Pismo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 jest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zawieraj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objawienie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i umie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 objawienia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ego;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kto jest Autorem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, dlaczego Pismo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 jest nazywane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Boga do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podzia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 na Stary i Nowy Testament;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zna podstawowe zasady korzystania z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prawid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owo odczyta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adres biblijny (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sigla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);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kilka podstawowych skrótów nazw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 biblijnych;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jakie czynno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podj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aby odszuka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wskazany fragment biblijny;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cie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Stary Testament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cie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Nowy Testament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kilka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 Nowego Testamentu;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jak powstawa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Nowy Testament;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 xml:space="preserve">wie, kim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ty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Pawe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to jest Ewangelia;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umiewymieni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imionaewangelist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nia, dlaczego Ewangelie nazywamy sercem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wskaza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moment, kiedy w liturgii Mszy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tej czytany jest fragment Starego, a kiedy Nowego Testamentu;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wiara prowadzi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 do coraz lepszego poznawania Boga;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wskaza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zwi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zek Biblii z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yciem narodu i kultury chrze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skiej;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kilka 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sztuki inspirowanych Bibli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 wiary, a wyznanie wiary jest przyznaniem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Chrystusa;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 jest wszechmocny; i zaspokaja wszystkie potrzeby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zna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przymioty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przebaczaj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cego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Boga;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g jest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em M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dro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Izajasz i Jeremiasz byli prorokami oraz jak zostali powo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ani na prorok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w; 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wydarzenia, w których Maryja towarzyszy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 Jezusowi;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zna wybrane wydarzenia z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ycia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w.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Stanis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awa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Kostki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 brzmi najwa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niejsze przykazanie;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poda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sposoby realizacji przykazania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 w codziennym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wydarzy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Wieczerniku podczas Ostatniej Wieczerzy i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dlaczego Jezus umy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uczniom nogi;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przestrzeganie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jest odpowiedzi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trosk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wierno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trzech pierwszych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wskazuje, jak zastosowa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przykazania od I do III w konkretnych sytuacjach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yciowych;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od IV do X;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zrobi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rachunek sumienia w oparciu o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IV do X,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umie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wyja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ni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 xml:space="preserve">ć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poj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cie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wierno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”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podaje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 wierno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Bogu i ludziom we wsp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czesnym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wiecie;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do jakiego zadania zostali wezwani aposto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ka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dy z nas jest powo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any, by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wiadkiem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Jezusa;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uczynki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osierne wzgl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dem duszy i wzgl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dem cia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poda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 realizacji uczynk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osiernych w codzienno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 warto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i potrafi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uszeregowa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najwa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niejsze warto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ogólnoludzkie;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wiara nadaje sens ca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emu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i rozumie definicj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Opatrzno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ej;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dzia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anie Opatrzno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 w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yciu wybranych postaci biblijnych;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chrze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cijaninem, to na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ladowa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Jezusa;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na czym polega istota relacji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 z Bogiem;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jakie wydarzenie 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 zapowiedzi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Eucharystii;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Tym, do kogo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 mo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zwr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chwili cierpienia, jest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na czym polega odwaga i m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stwo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 prze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ywaj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cego trudno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kim jest Anio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Str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jakie posiada przymioty, zna zadania Anio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 Str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 xml:space="preserve">óża 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Pismo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 zawiera histori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Boga i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owieka, kt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ra wci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trwa;</w:t>
      </w:r>
    </w:p>
    <w:p w:rsidR="00135370" w:rsidRDefault="00135370" w:rsidP="001353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na czym polega chrze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ski hart ducha;</w:t>
      </w: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sz w:val="24"/>
          <w:szCs w:val="24"/>
          <w:lang w:eastAsia="en-US"/>
        </w:rPr>
      </w:pPr>
    </w:p>
    <w:p w:rsidR="00135370" w:rsidRDefault="00135370" w:rsidP="0013537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sz w:val="24"/>
          <w:szCs w:val="24"/>
          <w:lang w:eastAsia="en-US"/>
        </w:rPr>
      </w:pPr>
    </w:p>
    <w:p w:rsidR="00135370" w:rsidRDefault="00135370" w:rsidP="00135370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135370" w:rsidRDefault="00135370" w:rsidP="00135370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135370" w:rsidRDefault="00135370" w:rsidP="00135370">
      <w:pPr>
        <w:spacing w:line="360" w:lineRule="auto"/>
        <w:ind w:left="2832"/>
        <w:rPr>
          <w:rFonts w:ascii="Book Antiqua" w:hAnsi="Book Antiqua"/>
          <w:color w:val="FF0000"/>
          <w:sz w:val="24"/>
          <w:szCs w:val="24"/>
        </w:rPr>
      </w:pPr>
    </w:p>
    <w:p w:rsidR="00135370" w:rsidRDefault="00135370" w:rsidP="00135370">
      <w:pPr>
        <w:spacing w:line="360" w:lineRule="auto"/>
        <w:ind w:left="3540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              </w:t>
      </w: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lastRenderedPageBreak/>
        <w:t>Klasa V</w:t>
      </w:r>
    </w:p>
    <w:p w:rsidR="00135370" w:rsidRDefault="00135370" w:rsidP="00135370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</w:rPr>
      </w:pPr>
      <w:r>
        <w:rPr>
          <w:rStyle w:val="Pogrubienie"/>
          <w:rFonts w:ascii="Book Antiqua" w:hAnsi="Book Antiqua" w:cs="Arial"/>
        </w:rPr>
        <w:t>Program – AZ-2-01/10</w:t>
      </w:r>
    </w:p>
    <w:p w:rsidR="00135370" w:rsidRDefault="00135370" w:rsidP="00135370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</w:rPr>
      </w:pPr>
      <w:r>
        <w:rPr>
          <w:rStyle w:val="Pogrubienie"/>
          <w:rFonts w:ascii="Book Antiqua" w:hAnsi="Book Antiqua" w:cs="Arial"/>
        </w:rPr>
        <w:t xml:space="preserve">Podręcznik </w:t>
      </w:r>
      <w:r>
        <w:rPr>
          <w:rStyle w:val="Uwydatnienie"/>
          <w:rFonts w:ascii="Book Antiqua" w:hAnsi="Book Antiqua" w:cs="Arial"/>
          <w:bCs/>
        </w:rPr>
        <w:t>Wierzę w Boga</w:t>
      </w:r>
      <w:r>
        <w:rPr>
          <w:rStyle w:val="Pogrubienie"/>
          <w:rFonts w:ascii="Book Antiqua" w:hAnsi="Book Antiqua" w:cs="Arial"/>
        </w:rPr>
        <w:t> – AZ-22-01/10-PO-1/12</w:t>
      </w:r>
    </w:p>
    <w:p w:rsidR="00135370" w:rsidRDefault="00135370" w:rsidP="00135370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Uczeń w klasie V powinien:</w:t>
      </w:r>
    </w:p>
    <w:p w:rsidR="00135370" w:rsidRDefault="00135370" w:rsidP="00135370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przyjąć, że Pan Bóg jest Stwórcą otaczającego go świata i że świat powstał „ex </w:t>
      </w:r>
      <w:proofErr w:type="spellStart"/>
      <w:r>
        <w:rPr>
          <w:rFonts w:ascii="Book Antiqua" w:hAnsi="Book Antiqua" w:cs="Arial"/>
          <w:sz w:val="24"/>
          <w:szCs w:val="24"/>
        </w:rPr>
        <w:t>nihilo</w:t>
      </w:r>
      <w:proofErr w:type="spellEnd"/>
      <w:r>
        <w:rPr>
          <w:rFonts w:ascii="Book Antiqua" w:hAnsi="Book Antiqua" w:cs="Arial"/>
          <w:sz w:val="24"/>
          <w:szCs w:val="24"/>
        </w:rPr>
        <w:t>”;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wiedzieć, jaka prawda o Bogu i człowieku jest zawarta na kartach Pisma św.; 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na czym polega wyjątkowość człowieka;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zadania, jakie człowiek otrzymał od Pana Boga;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życie każdego człowieka jest największym darem;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na czym polegało zło, którego dopuścili się pierwsi ludzie;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podać definicję: „grzechu” oraz „grzechu pierworodnego”;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każdy zły czyn pociąga konkretne konsekwencje;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obietnicę pozostawioną przez Boga ludziom po opuszczeniu przez nich raju i wiedzieć jak Bóg ją wypełnił;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historię Abla i Kaina;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w sakramencie pojednania można doświadczyć spotkania z miłosiernym Bogiem;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znać warunki dobrej spowiedzi</w:t>
      </w:r>
      <w:r>
        <w:rPr>
          <w:rFonts w:ascii="Book Antiqua" w:hAnsi="Book Antiqua" w:cs="Arial"/>
          <w:sz w:val="24"/>
          <w:szCs w:val="24"/>
        </w:rPr>
        <w:t>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 pojęcie: „przymierze”;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historię Noego, wyjaśnić przyczyny i sens potopu;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perykopę biblijną o wieży Babel i wyjaśnić skutki pychy w życiu człowieka;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Bóg zawsze przychodzi z pomocą człowiekowi; wspiera go w walce ze złem;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rozumieć, że wiara jest łaską Bożą, z którą człowiek powinien współdziałać;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podać treść obietnicy danej przez Boga Abrahamowi oraz wyjaśnić sposób, w jaki Bóg ją wypełnił;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potrafić opowiedzieć o wydarzeniach z życia Jakuba;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potrafić wymienić najważniejsze wydarzenia z życia Józefa, wskazać w jego historii wydarzenia świadczące o Bożej opiece;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potrafić opowiedzieć o życiu rodzin izraelskich w niewoli egipskiej i rozumieć rolę wiary w Boga w ich życiu;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historię Mojżesza i jego rolę w dziejach narodu wybranego;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plagi egipskie i rozumieć, że były one znakami działającego Boga;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umieć opowiedzieć, w jaki sposób Bóg za pośrednictwem Mojżesza wyzwolił swój lud z niewoli;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opisać, w jaki sposób Bóg troszczył się o Izraelitów podczas wędrówki do Ziemi Obiecanej;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 sytuację Mojżesza jako przywódcy ludu wypełniającego wolę Boga;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porównać paschę Izraelitów i Paschę chrześcijan;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łaska Boża ratuje człowieka z niewoli grzechu;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w jaki sposób chrześcijanin utrwala relację z Bogiem;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opowiedzieć o przymierzu, jakie Bóg zawarł z Izraelitami na Synaju;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określić wzajemne zobowiązania Boga i Jego ludu, wynikające z przymierza;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analogię między Starym a Nowym Przymierzem;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potrafić omówić okoliczności zawarcia Nowego Przymierza;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znać 10 przykazań Bożych;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uzasadnić, że Dekalog jest wyrazem miłości i troski Boga o człowieka;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wierność Bożym przykazaniom jest potwierdzeniem wiary w Boga i ufności w Jego troskę o ludzi;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r</w:t>
      </w:r>
      <w:r>
        <w:rPr>
          <w:rFonts w:ascii="Book Antiqua" w:hAnsi="Book Antiqua" w:cs="Arial"/>
          <w:sz w:val="24"/>
          <w:szCs w:val="24"/>
        </w:rPr>
        <w:t>ozumieć przesłanie zawarte w tekście biblijnym o złotym cielcu;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analogię między wężem miedzianym na pustyni a krzyżem Chrystusa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uzasadnić, że Nowe Przymierze w Jezusie Chrystusie jest ratunkiem dla błądzącego człowieka;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 sens i symbolikę Chrystusowego krzyża;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dlaczego Bóg wzywa człowieka do świętości i wskazać, jak można realizować to wezwanie;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przejawy miłości Boga w historii zbawienia;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wymienić zadania proroków;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nazwy najważniejszych miejsc związanych z życiem Chrystusa;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okoliczności narodzenia i działalności Jana Chrzciciela;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Jan Chrzciciel przygotowywał naród na przyjście Mesjasza;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rozumieć pojęcie „Adwent”;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Maryja jest Matką obiecanego Mesjasza;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scharakteryzować postawę Maryi;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na czym polega oczekiwanie na powtórne przyjście Chrystusa;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znać okoliczności narodzenia Pana Jezusa;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znaczenie wybranych zwyczajów związanych z Bożym Narodzeniem;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źródła historyczne mówiące o Jezusie;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uzasadnić, ze Jezus Chrystus jest Bogiem i człowiekiem;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uporządkować wydarzenia z życia Rodziny z Nazaretu;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uzasadnić, dlaczego człowiek powinien być posłuszny Bogu;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Jezus zapoczątkował królestwo Boże, w którym On jest Królem;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Jezus Chrystus jest Najwyższym Kapłanem;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uzasadnić, dlaczego Jezusa nazywamy Nauczycielem;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wymienić sposoby budowania i umacniania królestwa Bożego;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wiedzieć, że słowo to wyraz mocy Bożej – Bóg przez nie poucza i nieustannie działa dla naszego zbawienia;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znać treść i sens ośmiu błogosławieństw</w:t>
      </w:r>
      <w:r>
        <w:rPr>
          <w:rFonts w:ascii="Book Antiqua" w:hAnsi="Book Antiqua" w:cs="Arial"/>
          <w:sz w:val="24"/>
          <w:szCs w:val="24"/>
        </w:rPr>
        <w:t>, wskazać sposoby ich realizacji w codziennym życiu;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wyrazić i uzasadnić potrzebę budowania relacji z Jezusem poprzez modlitwę, liturgię i sakramenty;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uzasadnić potrzebę powierzania słabości duszy i ciała Jezusowi w modlitwie; oraz sakramentach pojednania i namaszczenia chorych;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uzasadnić związek rozmnożenia chleba z Eucharystią;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wyjaśnić, dlaczego wspólnie z Jezusem łatwiej można przezwyciężyć trudności, cierpienie;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wyjaśnić zbawczy sens śmierci Chrystusa;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uzasadnić, dlaczego Eucharystia jest pokarmem na życie wieczne;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wskazać wydarzenia biblijne o męce, śmierci i zmartwychwstaniu Chrystusa w liturgii;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potrafić uzasadnić, dlaczego modlitwa spełnia ważną rolę w życiu chrześcijanina;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wiedzieć, że chrześcijanin jest wezwany do dawania świadectwa wiary. </w:t>
      </w: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ind w:firstLine="360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lastRenderedPageBreak/>
        <w:t>Klasa VI</w:t>
      </w:r>
    </w:p>
    <w:p w:rsidR="00135370" w:rsidRDefault="00135370" w:rsidP="00135370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</w:rPr>
      </w:pPr>
      <w:r>
        <w:rPr>
          <w:rStyle w:val="Pogrubienie"/>
          <w:rFonts w:ascii="Book Antiqua" w:hAnsi="Book Antiqua" w:cs="Arial"/>
        </w:rPr>
        <w:t>Program – AZ-2-01/10</w:t>
      </w:r>
    </w:p>
    <w:p w:rsidR="00135370" w:rsidRDefault="00135370" w:rsidP="00135370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</w:rPr>
      </w:pPr>
      <w:r>
        <w:rPr>
          <w:rStyle w:val="Pogrubienie"/>
          <w:rFonts w:ascii="Book Antiqua" w:hAnsi="Book Antiqua" w:cs="Arial"/>
        </w:rPr>
        <w:t xml:space="preserve">Podręcznik </w:t>
      </w:r>
      <w:r>
        <w:rPr>
          <w:rStyle w:val="Uwydatnienie"/>
          <w:rFonts w:ascii="Book Antiqua" w:hAnsi="Book Antiqua" w:cs="Arial"/>
          <w:bCs/>
        </w:rPr>
        <w:t xml:space="preserve">Wierzę w Kościół </w:t>
      </w:r>
      <w:r>
        <w:rPr>
          <w:rStyle w:val="Pogrubienie"/>
          <w:rFonts w:ascii="Book Antiqua" w:hAnsi="Book Antiqua" w:cs="Arial"/>
        </w:rPr>
        <w:t>– AZ-22-01/10-PO-1/12</w:t>
      </w: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Uczeń w klasie VI: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wie,</w:t>
      </w:r>
      <w:r>
        <w:rPr>
          <w:rFonts w:ascii="Book Antiqua" w:eastAsia="TimesNewRomanPSMT" w:hAnsi="Book Antiqua" w:cs="Arial"/>
          <w:sz w:val="24"/>
          <w:szCs w:val="24"/>
        </w:rPr>
        <w:t xml:space="preserve"> kim jest Duch Święty iw jakich okolicznościach nastąpiło zesłanie Ducha Świętego;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wyjaśnia, na czym polegała przemiana, jaka dokonała się w apostołach pod wpływem Ducha Świętego;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biblijne symbole Ducha Świętego, potrafi je wyjaśnić;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czym charakteryzowało się życie pierwszej gminy chrześcijańskiej;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potrafi wyjaśnić, dlaczego chrześcijanie świętują niedzielę;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potrafi podać argumenty przemawiające za nieopuszczaniem niedzielnej Eucharystii;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że chrześcijańskie świętowanie polega na udziale we Mszy Świętej i na odpoczynku;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najważniejsze wydarzenia z życia Świętego Piotra;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 pojęcie hierarchicznej struktury Kościoła;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kim był Święty Paweł, wymienia najważniejsze wydarzenia z jego życia;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wyjaśnia, co to znaczy być chrześcijaninem;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że Chrystus jest obecny w słowie Bożym i sakramentach;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trzy biblijne obrazy Kościoła;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rozpoznaje swoje miejsce we wspólnocie Kościoła;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wymienia cztery przymioty Kościoła;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wyjaśnia, czym są charyzmaty i podaje kilka ich przykładów z listów Świętego Pawła;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 znaczenie sakramentów w życiu człowieka;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umie dokonać podziału sakramentów na trzy grupy: sakramenty wtajemniczenia, uzdrowienia i sakramenty w służbie komunii;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rozumie, że do zbawienia jest potrzebny chrzest święty oraz wiara;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lastRenderedPageBreak/>
        <w:t>wymienia konsekwencje przyjętego chrztu świętego;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b/>
          <w:sz w:val="24"/>
          <w:szCs w:val="24"/>
        </w:rPr>
        <w:t>zna siedem darów Ducha Świętego</w:t>
      </w:r>
      <w:r>
        <w:rPr>
          <w:rFonts w:ascii="Book Antiqua" w:eastAsia="TimesNewRomanPSMT" w:hAnsi="Book Antiqua" w:cs="Arial"/>
          <w:sz w:val="24"/>
          <w:szCs w:val="24"/>
        </w:rPr>
        <w:t>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rozumie, że czasem szczególnego otrzymywania darów Ducha Świętego jest sakrament bierzmowania;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rozumie, jakie jest znaczenie Eucharystii dla chrześcijanina;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w jakim celu i w jakich okolicznościach Pan Jezus ustanowił sakrament pokuty i pojednania;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wymienia warunki sakramentu pokuty i pojednania;</w:t>
      </w:r>
    </w:p>
    <w:p w:rsidR="00135370" w:rsidRDefault="00135370" w:rsidP="00135370">
      <w:pPr>
        <w:pStyle w:val="Akapitzlist2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rozróżnia grzech śmiertelny od grzechu powszedniego;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ukazuje sakrament namaszczenia chorych jako istotną pomoc osobom chorym, cierpiącym;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 potrzebę modlitwy za chorych, cierpiących.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wskazuje na sakrament święceń oraz na sakrament małżeństwa jako sakramenty w służbie bliźnim;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że sakramenty święte są duchowymi darami;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wskazuje działania Boga, które pomagają człowiekowi być blisko Zbawiciela;</w:t>
      </w:r>
    </w:p>
    <w:p w:rsidR="00135370" w:rsidRDefault="00135370" w:rsidP="00135370">
      <w:pPr>
        <w:pStyle w:val="Akapitzlist2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rozumie, że Kościół jest wspólnotą wierzących w drodze do Boga;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wymienia dary naturalne i nadprzyrodzone, które otrzymuje człowiek od Boga;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definiuje pojęcie wiary;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wymienia obowiązki chrześcijanina wynikające z wyznawanej wiary;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b/>
          <w:sz w:val="24"/>
          <w:szCs w:val="24"/>
        </w:rPr>
        <w:t>zna przykazania kościelne</w:t>
      </w:r>
      <w:r>
        <w:rPr>
          <w:rFonts w:ascii="Book Antiqua" w:eastAsia="TimesNewRomanPSMT" w:hAnsi="Book Antiqua" w:cs="Arial"/>
          <w:sz w:val="24"/>
          <w:szCs w:val="24"/>
        </w:rPr>
        <w:t>;</w:t>
      </w:r>
    </w:p>
    <w:p w:rsidR="00135370" w:rsidRDefault="00135370" w:rsidP="00135370">
      <w:pPr>
        <w:pStyle w:val="Akapitzlist2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wyjaśnia, że przykazania kościelne są dla chrześcijanina pomocą w trwaniu w przyjaźni z Bogiem we wspólnocie Kościoła;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wskazuje na zobowiązania wynikające z przyjęcia chrztu świętego;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wymienia formy pomocy bliźnim praktykowane we wspólnocie Kościoła;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 rolę modlitwy w życiu Pana Jezusa;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 rolę modlitwy w życiu chrześcijanina;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wyjaśnia, jakich wyborów dokonuje człowiek przystępujący do sakramentów: chrztu świętego, pojednania, Eucharystii;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wyjaśnia, na czym polega działalność misyjna Kościoła;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lastRenderedPageBreak/>
        <w:t>wyjaśnia, na czym polega działalność charytatywna Kościoła;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wyjaśnia, czym jest wspólnota parafialna;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że parafia jest środowiskiem życia i przeżywania wiary;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podaje przykłady grup i ruchów religijnych działających w Kościele;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w jaki sposób można głosić Ewangelię w środowisku, w którym żyje;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jakie konsekwencje wynikały z przyjęcia przez Mieszka I chrztu świętego;</w:t>
      </w:r>
    </w:p>
    <w:p w:rsidR="00135370" w:rsidRDefault="00135370" w:rsidP="00135370">
      <w:pPr>
        <w:pStyle w:val="Akapitzlist2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wyjaśnia znaczenie chrztu Polski dla narodu polskiego i Europy;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 znaczenie chrztu świętego dla każdego wierzącego.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rozumie, czym zaznaczył się w dziejach Polski święty Wojciech,  wie jakie znaczenie miała jego męczeńska śmierć;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czym jest kultura chrześcijańska;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rozumie, że Maryja uczy nas zachować wierność Chrystusowi;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wymienia przejawy kultu maryjnego w Kościele;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wskazuje na związek wiary z życiem narodu;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 xml:space="preserve">zna najnowszą historię Kościoła w Polsce – od 1945 roku do czasów współczesnych; </w:t>
      </w:r>
    </w:p>
    <w:p w:rsidR="00135370" w:rsidRDefault="00135370" w:rsidP="00135370">
      <w:pPr>
        <w:pStyle w:val="Akapitzlist2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</w:rPr>
      </w:pPr>
      <w:r>
        <w:rPr>
          <w:rFonts w:ascii="Book Antiqua" w:eastAsia="TimesNewRomanPSMT" w:hAnsi="Book Antiqua" w:cs="Arial"/>
        </w:rPr>
        <w:t>wymienia i omawia postaci zasłużone dla współczesnego Kościoła w Polsce;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wskazuje własne miejsce w rodzinie, szkole, Kościele i innych społecznościach;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 religijne korzenie obrzędów, zwyczajów i tradycji jako znaków obecności wiary na co dzień;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wskazuje na religijny wymiar świąt narodowych i rodzinnych;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rozumie, w jaki sposób nauczanie zawarte w Ewangelii i nauczanie papieskiego powinno wpływać na codzienność chrześcijanina;</w:t>
      </w:r>
    </w:p>
    <w:p w:rsidR="00135370" w:rsidRDefault="00135370" w:rsidP="001353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potrafi wskazać istotne cechy świętości;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życie, działalność oraz przyczyny męczeńskiej śmierci św. Szczepana;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życie, działalność i okoliczności śmierci św. Stanisława;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najważniejsze wydarzenia z życia św. Jadwigi Śląskiej;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najważniejsze wydarzenia z życia chłopców z Poznańskiej Piątki;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najważniejsze wydarzenia z życia św. Maksymiliana Kolbego;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zna najważniejsze wydarzenia z życia bł. Jerzego Popiełuszki;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lastRenderedPageBreak/>
        <w:t>zna najważniejsze wydarzenia z życia św. Jana Pawła II;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wymienia najważniejsze dokonania papieża Jana Pawła II;</w:t>
      </w:r>
    </w:p>
    <w:p w:rsidR="00135370" w:rsidRDefault="00135370" w:rsidP="00135370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 Antiqua" w:eastAsia="TimesNewRomanPSMT" w:hAnsi="Book Antiqua" w:cs="Arial"/>
          <w:sz w:val="24"/>
          <w:szCs w:val="24"/>
        </w:rPr>
      </w:pPr>
      <w:r>
        <w:rPr>
          <w:rFonts w:ascii="Book Antiqua" w:eastAsia="TimesNewRomanPSMT" w:hAnsi="Book Antiqua" w:cs="Arial"/>
          <w:sz w:val="24"/>
          <w:szCs w:val="24"/>
        </w:rPr>
        <w:t>wie, co to jest świętych obcowanie.</w:t>
      </w: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ind w:left="4248"/>
        <w:rPr>
          <w:rFonts w:ascii="Book Antiqua" w:hAnsi="Book Antiqua"/>
          <w:color w:val="FF0000"/>
          <w:sz w:val="24"/>
          <w:szCs w:val="24"/>
        </w:rPr>
      </w:pP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>
      <w:pPr>
        <w:spacing w:line="360" w:lineRule="auto"/>
        <w:rPr>
          <w:rFonts w:ascii="Book Antiqua" w:hAnsi="Book Antiqua"/>
          <w:sz w:val="24"/>
        </w:rPr>
      </w:pPr>
    </w:p>
    <w:p w:rsidR="00135370" w:rsidRDefault="00135370" w:rsidP="00135370"/>
    <w:p w:rsidR="00305E65" w:rsidRDefault="00305E65">
      <w:bookmarkStart w:id="0" w:name="_GoBack"/>
      <w:bookmarkEnd w:id="0"/>
    </w:p>
    <w:sectPr w:rsidR="0030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/>
  </w:num>
  <w:num w:numId="5">
    <w:abstractNumId w:val="6"/>
    <w:lvlOverride w:ilvl="0">
      <w:startOverride w:val="1"/>
    </w:lvlOverride>
  </w:num>
  <w:num w:numId="6">
    <w:abstractNumId w:val="8"/>
    <w:lvlOverride w:ilvl="0">
      <w:startOverride w:val="6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70"/>
    <w:rsid w:val="00135370"/>
    <w:rsid w:val="00305E65"/>
    <w:rsid w:val="006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48D1-05D5-43D1-B900-A086B4E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370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353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1353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35370"/>
    <w:rPr>
      <w:b/>
      <w:bCs/>
    </w:rPr>
  </w:style>
  <w:style w:type="character" w:styleId="Uwydatnienie">
    <w:name w:val="Emphasis"/>
    <w:basedOn w:val="Domylnaczcionkaakapitu"/>
    <w:uiPriority w:val="20"/>
    <w:qFormat/>
    <w:rsid w:val="00135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2812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Donia</cp:lastModifiedBy>
  <cp:revision>1</cp:revision>
  <dcterms:created xsi:type="dcterms:W3CDTF">2019-03-10T20:25:00Z</dcterms:created>
  <dcterms:modified xsi:type="dcterms:W3CDTF">2019-03-10T20:26:00Z</dcterms:modified>
</cp:coreProperties>
</file>